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360" w:lineRule="auto"/>
        <w:rPr>
          <w:sz w:val="16"/>
          <w:szCs w:val="16"/>
        </w:rPr>
      </w:pPr>
      <w:bookmarkStart w:colFirst="0" w:colLast="0" w:name="_avh3dyap48ys" w:id="0"/>
      <w:bookmarkEnd w:id="0"/>
      <w:r w:rsidDel="00000000" w:rsidR="00000000" w:rsidRPr="00000000">
        <w:rPr>
          <w:sz w:val="40"/>
          <w:szCs w:val="40"/>
          <w:rtl w:val="0"/>
        </w:rPr>
        <w:t xml:space="preserve">Overview of GCC                         </w:t>
      </w:r>
      <w:r w:rsidDel="00000000" w:rsidR="00000000" w:rsidRPr="00000000">
        <w:rPr>
          <w:sz w:val="40"/>
          <w:szCs w:val="40"/>
        </w:rPr>
        <w:drawing>
          <wp:inline distB="114300" distT="114300" distL="114300" distR="114300">
            <wp:extent cx="957263" cy="9572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57263" cy="957263"/>
                    </a:xfrm>
                    <a:prstGeom prst="rect"/>
                    <a:ln/>
                  </pic:spPr>
                </pic:pic>
              </a:graphicData>
            </a:graphic>
          </wp:inline>
        </w:drawing>
      </w:r>
      <w:r w:rsidDel="00000000" w:rsidR="00000000" w:rsidRPr="00000000">
        <w:rPr>
          <w:sz w:val="16"/>
          <w:szCs w:val="16"/>
          <w:rtl w:val="0"/>
        </w:rPr>
        <w:t xml:space="preserve">For Quick Access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1"/>
        <w:spacing w:line="360" w:lineRule="auto"/>
        <w:rPr/>
      </w:pPr>
      <w:bookmarkStart w:colFirst="0" w:colLast="0" w:name="_651nf9e2j135" w:id="1"/>
      <w:bookmarkEnd w:id="1"/>
      <w:r w:rsidDel="00000000" w:rsidR="00000000" w:rsidRPr="00000000">
        <w:rPr>
          <w:rtl w:val="0"/>
        </w:rPr>
        <w:t xml:space="preserve">Introduction</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t xml:space="preserve">The Government Corporation (GCC) is a significant and longstanding entity known for its pioneering work in the fields of Information Technology (IT) and Finance. Established in 1982, GCC has emerged as one of the oldest, largest, and most advanced corporations in its domain. It plays a vital role in managing and advancing urban local bodies (ULBs) and associated financial systems.</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1"/>
        <w:spacing w:line="360" w:lineRule="auto"/>
        <w:rPr/>
      </w:pPr>
      <w:bookmarkStart w:colFirst="0" w:colLast="0" w:name="_1r19fhiu8w6o" w:id="2"/>
      <w:bookmarkEnd w:id="2"/>
      <w:r w:rsidDel="00000000" w:rsidR="00000000" w:rsidRPr="00000000">
        <w:rPr>
          <w:rtl w:val="0"/>
        </w:rPr>
        <w:t xml:space="preserve">History</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tl w:val="0"/>
        </w:rPr>
        <w:t xml:space="preserve">GCC's history is deeply rooted in the implementation of a groundbreaking, entry ocular based accounting system for 100 ULBs. In its early years, the accounting system was a month end process, where manual entries were meticulously transcribed into the system. Subsequently, GCC transitioned to more streamlined, automated processes with the initiation of government services.</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1"/>
        <w:spacing w:line="360" w:lineRule="auto"/>
        <w:rPr/>
      </w:pPr>
      <w:bookmarkStart w:colFirst="0" w:colLast="0" w:name="_275k58x2p00r" w:id="3"/>
      <w:bookmarkEnd w:id="3"/>
      <w:r w:rsidDel="00000000" w:rsidR="00000000" w:rsidRPr="00000000">
        <w:rPr>
          <w:rtl w:val="0"/>
        </w:rPr>
        <w:t xml:space="preserve">Transactions</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tl w:val="0"/>
        </w:rPr>
        <w:t xml:space="preserve">One of the central aspects of GCC's operations is the management and update of financial transactions. The organization ensures that all functional systems are seamlessly integrated with the financial transaction system. This integration plays a critical role in maintaining accurate financial records.</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pStyle w:val="Heading1"/>
        <w:spacing w:line="360" w:lineRule="auto"/>
        <w:rPr/>
      </w:pPr>
      <w:bookmarkStart w:colFirst="0" w:colLast="0" w:name="_310rbgtx50xu" w:id="4"/>
      <w:bookmarkEnd w:id="4"/>
      <w:r w:rsidDel="00000000" w:rsidR="00000000" w:rsidRPr="00000000">
        <w:rPr>
          <w:rtl w:val="0"/>
        </w:rPr>
        <w:t xml:space="preserve">Collection Operations</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t xml:space="preserve">GCC's operations extend to various collection modules, including counter collection, handled collection, and online collection. Remarkably, GCC has integrated more than 11 payment methods, providing citizens with diverse options for paying taxes and fees.</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1"/>
        <w:spacing w:line="360" w:lineRule="auto"/>
        <w:rPr/>
      </w:pPr>
      <w:bookmarkStart w:colFirst="0" w:colLast="0" w:name="_v7b34qo884u0" w:id="5"/>
      <w:bookmarkEnd w:id="5"/>
      <w:r w:rsidDel="00000000" w:rsidR="00000000" w:rsidRPr="00000000">
        <w:rPr>
          <w:rtl w:val="0"/>
        </w:rPr>
        <w:t xml:space="preserve">GCC Operations and Functions</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tl w:val="0"/>
        </w:rPr>
        <w:t xml:space="preserve">GCC serves as a unifying entity for Central, State, and Local governments. It oversees and manages ULBs and their utilities, handling 18 essential functions. These functions include the collection of property taxes, a primary revenue source. Moreover, GCC has the authority to levy professional taxes and conducts General Revision (GR) every 25 years.</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pStyle w:val="Heading1"/>
        <w:spacing w:line="360" w:lineRule="auto"/>
        <w:rPr/>
      </w:pPr>
      <w:bookmarkStart w:colFirst="0" w:colLast="0" w:name="_g6ihs2jygxxn" w:id="6"/>
      <w:bookmarkEnd w:id="6"/>
      <w:r w:rsidDel="00000000" w:rsidR="00000000" w:rsidRPr="00000000">
        <w:rPr>
          <w:rtl w:val="0"/>
        </w:rPr>
        <w:t xml:space="preserve">Structure of the Corporation</w:t>
      </w:r>
    </w:p>
    <w:p w:rsidR="00000000" w:rsidDel="00000000" w:rsidP="00000000" w:rsidRDefault="00000000" w:rsidRPr="00000000" w14:paraId="00000018">
      <w:pPr>
        <w:spacing w:line="360" w:lineRule="auto"/>
        <w:rPr/>
      </w:pPr>
      <w:r w:rsidDel="00000000" w:rsidR="00000000" w:rsidRPr="00000000">
        <w:rPr>
          <w:rtl w:val="0"/>
        </w:rPr>
        <w:t xml:space="preserve">GCC's organizational structure is built around three regions: Central, South, and North. Each region is overseen by a Regional Commissioner. Furthermore, GCC is divided into 15 zones, each of which manages 12 wards, referred to as units. These 45 units are led by Assistant Executive Engineers (AE2), responsible for functions such as building plan approval. AE2 personnel also oversee activities at the ward, zone, region, and headquarters levels, ensuring streamlined operations and efficient decision making.</w:t>
      </w:r>
    </w:p>
    <w:p w:rsidR="00000000" w:rsidDel="00000000" w:rsidP="00000000" w:rsidRDefault="00000000" w:rsidRPr="00000000" w14:paraId="00000019">
      <w:pPr>
        <w:pStyle w:val="Heading1"/>
        <w:spacing w:line="360" w:lineRule="auto"/>
        <w:rPr/>
      </w:pPr>
      <w:bookmarkStart w:colFirst="0" w:colLast="0" w:name="_aejf1h8fbnwm" w:id="7"/>
      <w:bookmarkEnd w:id="7"/>
      <w:r w:rsidDel="00000000" w:rsidR="00000000" w:rsidRPr="00000000">
        <w:rPr>
          <w:rtl w:val="0"/>
        </w:rPr>
        <w:t xml:space="preserve">ULB (Urban Local Body)</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t xml:space="preserve">An "Urban Local Body" (ULB) is an overarching administrative entity responsible for governing urban areas such as cities and towns. ULBs are responsible for providing essential services, infrastructure development, and local governance within their jurisdictions. ULBs are usually organized into wards, zones, divisions, and regions for effective administration.</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rPr>
      </w:pPr>
      <w:r w:rsidDel="00000000" w:rsidR="00000000" w:rsidRPr="00000000">
        <w:rPr>
          <w:sz w:val="40"/>
          <w:szCs w:val="40"/>
          <w:rtl w:val="0"/>
        </w:rPr>
        <w:br w:type="textWrapping"/>
      </w:r>
      <w:r w:rsidDel="00000000" w:rsidR="00000000" w:rsidRPr="00000000">
        <w:rPr>
          <w:b w:val="1"/>
          <w:rtl w:val="0"/>
        </w:rPr>
        <w:t xml:space="preserve"> Ward</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t xml:space="preserve">A "ward" is a geographical area or administrative division within an Urban Local Body (ULB) or a municipality. Wards are used for the purpose of local governance, and each ward is typically represented by an elected councilor. Wards are the fundamental units for local administration and service delivery.</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b w:val="1"/>
        </w:rPr>
      </w:pPr>
      <w:r w:rsidDel="00000000" w:rsidR="00000000" w:rsidRPr="00000000">
        <w:rPr>
          <w:b w:val="1"/>
          <w:rtl w:val="0"/>
        </w:rPr>
        <w:t xml:space="preserve"> Zone</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tl w:val="0"/>
        </w:rPr>
        <w:t xml:space="preserve">A "zone" is a larger administrative division that comprises multiple wards within an ULB or municipality. Zones are established to facilitate the efficient management of various municipal functions, including sanitation, infrastructure development, and public services.</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b w:val="1"/>
        </w:rPr>
      </w:pPr>
      <w:r w:rsidDel="00000000" w:rsidR="00000000" w:rsidRPr="00000000">
        <w:rPr>
          <w:b w:val="1"/>
          <w:rtl w:val="0"/>
        </w:rPr>
        <w:t xml:space="preserve"> Division</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tl w:val="0"/>
        </w:rPr>
        <w:t xml:space="preserve">A "division" is an even higher-level administrative unit that encompasses multiple zones. Divisions are often created to coordinate and manage activities across a broader area within a municipality. They help in decentralized administration and governance.</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b w:val="1"/>
        </w:rPr>
      </w:pPr>
      <w:r w:rsidDel="00000000" w:rsidR="00000000" w:rsidRPr="00000000">
        <w:rPr>
          <w:b w:val="1"/>
          <w:rtl w:val="0"/>
        </w:rPr>
        <w:t xml:space="preserve"> Region</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tl w:val="0"/>
        </w:rPr>
        <w:t xml:space="preserve">A "region" typically refers to a larger geographical or administrative area that may include multiple ULBs, municipalities, or districts. In the context of your earlier description, a "region" may consist of multiple ULBs, each having its own set of wards, zones, and divisions.</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pStyle w:val="Heading1"/>
        <w:spacing w:line="360" w:lineRule="auto"/>
        <w:rPr/>
      </w:pPr>
      <w:bookmarkStart w:colFirst="0" w:colLast="0" w:name="_di8v8wmjnqen" w:id="8"/>
      <w:bookmarkEnd w:id="8"/>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E">
      <w:pPr>
        <w:pStyle w:val="Heading1"/>
        <w:spacing w:line="360" w:lineRule="auto"/>
        <w:rPr/>
      </w:pPr>
      <w:bookmarkStart w:colFirst="0" w:colLast="0" w:name="_c0pisaau57yx" w:id="9"/>
      <w:bookmarkEnd w:id="9"/>
      <w:r w:rsidDel="00000000" w:rsidR="00000000" w:rsidRPr="00000000">
        <w:rPr>
          <w:rtl w:val="0"/>
        </w:rPr>
        <w:t xml:space="preserve"> Election of Councilors</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tl w:val="0"/>
        </w:rPr>
        <w:t xml:space="preserve">Councilors within an ULB, including those representing individual wards, are typically elected by the residents of those wards through a democratic election process. The mayor, as the head of the ULB, is also elected by the residents.</w:t>
      </w:r>
    </w:p>
    <w:p w:rsidR="00000000" w:rsidDel="00000000" w:rsidP="00000000" w:rsidRDefault="00000000" w:rsidRPr="00000000" w14:paraId="00000031">
      <w:pPr>
        <w:spacing w:line="360" w:lineRule="auto"/>
        <w:rPr>
          <w:b w:val="1"/>
        </w:rPr>
      </w:pPr>
      <w:r w:rsidDel="00000000" w:rsidR="00000000" w:rsidRPr="00000000">
        <w:rPr>
          <w:rtl w:val="0"/>
        </w:rPr>
      </w:r>
    </w:p>
    <w:p w:rsidR="00000000" w:rsidDel="00000000" w:rsidP="00000000" w:rsidRDefault="00000000" w:rsidRPr="00000000" w14:paraId="00000032">
      <w:pPr>
        <w:pStyle w:val="Heading1"/>
        <w:spacing w:line="360" w:lineRule="auto"/>
        <w:rPr/>
      </w:pPr>
      <w:bookmarkStart w:colFirst="0" w:colLast="0" w:name="_vspacw6pnttg" w:id="10"/>
      <w:bookmarkEnd w:id="10"/>
      <w:r w:rsidDel="00000000" w:rsidR="00000000" w:rsidRPr="00000000">
        <w:rPr>
          <w:rtl w:val="0"/>
        </w:rPr>
        <w:t xml:space="preserve"> Deputy Mayor's Role</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tl w:val="0"/>
        </w:rPr>
        <w:t xml:space="preserve">The Deputy Mayor is a significant figure in the local government hierarchy and serves as the second-in-command to the Mayor. The Deputy Mayor may act on behalf of the Mayor in their absence and often presides over meetings and functions when required. The specific duties of the Deputy Mayor can vary depending on local regulations and the size of the ULB.</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pStyle w:val="Heading1"/>
        <w:spacing w:line="360" w:lineRule="auto"/>
        <w:rPr/>
      </w:pPr>
      <w:bookmarkStart w:colFirst="0" w:colLast="0" w:name="_mwcxzadb5jmw" w:id="11"/>
      <w:bookmarkEnd w:id="11"/>
      <w:r w:rsidDel="00000000" w:rsidR="00000000" w:rsidRPr="00000000">
        <w:rPr>
          <w:rtl w:val="0"/>
        </w:rPr>
        <w:t xml:space="preserve"> Maintenance of Councilors</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tl w:val="0"/>
        </w:rPr>
        <w:t xml:space="preserve">Councilors, who represent various wards, are responsible for addressing the concerns and issues of their constituents. They interact with residents, bring forward matters for discussion and resolution, and participate in local government decision-making processes.</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pStyle w:val="Heading1"/>
        <w:spacing w:line="360" w:lineRule="auto"/>
        <w:rPr/>
      </w:pPr>
      <w:bookmarkStart w:colFirst="0" w:colLast="0" w:name="_l1a76qlidcc7" w:id="12"/>
      <w:bookmarkEnd w:id="12"/>
      <w:r w:rsidDel="00000000" w:rsidR="00000000" w:rsidRPr="00000000">
        <w:rPr>
          <w:rtl w:val="0"/>
        </w:rPr>
        <w:t xml:space="preserve"> Decision-Making for Authorities</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tl w:val="0"/>
        </w:rPr>
        <w:t xml:space="preserve">Local government authorities, including the Mayor, Deputy Mayor, and Councilors, collaborate to make decisions on a wide range of issues. These decisions may involve urban planning, budget allocation, infrastructure development, public services, taxation, and more. The decision-making process usually involves discussions, debates, and voting within the local governing body.</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pStyle w:val="Heading1"/>
        <w:spacing w:line="360" w:lineRule="auto"/>
        <w:rPr/>
      </w:pPr>
      <w:bookmarkStart w:colFirst="0" w:colLast="0" w:name="_50kqm3zdiwdk" w:id="13"/>
      <w:bookmarkEnd w:id="13"/>
      <w:r w:rsidDel="00000000" w:rsidR="00000000" w:rsidRPr="00000000">
        <w:rPr>
          <w:rtl w:val="0"/>
        </w:rPr>
        <w:t xml:space="preserve"> Ward Delimitation</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tl w:val="0"/>
        </w:rPr>
        <w:t xml:space="preserve">Ward delimitation is the process of redrawing ward boundaries within an ULB or municipality to ensure equitable representation and efficient governance. This process is carried out periodically to accommodate changes in population, urban expansion, and other demographic shifts. Ward delimitation aims to maintain balanced and fair representation for all residents.</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tl w:val="0"/>
        </w:rPr>
        <w:br w:type="textWrapping"/>
      </w:r>
    </w:p>
    <w:p w:rsidR="00000000" w:rsidDel="00000000" w:rsidP="00000000" w:rsidRDefault="00000000" w:rsidRPr="00000000" w14:paraId="00000043">
      <w:pPr>
        <w:spacing w:line="360" w:lineRule="auto"/>
        <w:rPr>
          <w:b w:val="1"/>
        </w:rPr>
      </w:pPr>
      <w:r w:rsidDel="00000000" w:rsidR="00000000" w:rsidRPr="00000000">
        <w:rPr>
          <w:b w:val="1"/>
          <w:rtl w:val="0"/>
        </w:rPr>
        <w:t xml:space="preserve"> Ward Delimitation Process:</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t xml:space="preserve">Ward delimitation in Chennai Corporation is a strategic effort to allocate and organize urban areas for effective governance and representation. It involves the delineation of wards based on various criteria, including population density, geographical boundaries, and demographic shifts. The primary goal is to ensure that each ward has a reasonable and equitable number of residents.</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b w:val="1"/>
        </w:rPr>
      </w:pPr>
      <w:r w:rsidDel="00000000" w:rsidR="00000000" w:rsidRPr="00000000">
        <w:rPr>
          <w:b w:val="1"/>
          <w:rtl w:val="0"/>
        </w:rPr>
        <w:t xml:space="preserve"> Impact on Property Tax Numbers:</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t xml:space="preserve">The ward delimitation process has a direct impact on property tax numbers. In the case of limited populations within specific wards, they are grouped together for efficient management. When the population exceeds the predefined limits, a new ward is created to accommodate the additional residents. This leads to changes in property tax numbers for affected properties.</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b w:val="1"/>
        </w:rPr>
      </w:pPr>
      <w:r w:rsidDel="00000000" w:rsidR="00000000" w:rsidRPr="00000000">
        <w:rPr>
          <w:b w:val="1"/>
          <w:rtl w:val="0"/>
        </w:rPr>
        <w:t xml:space="preserve"> Transition from 5Bill to 6Bill Numbers:</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tl w:val="0"/>
        </w:rPr>
        <w:t xml:space="preserve">One of the most significant challenges resulting from ward delimitation is the transition from a 5bill property tax number to a 6bill number. This shift allows for a more comprehensive and unique identification of properties. When the property number remains the same, a "0" is added as a prefix, ensuring that the system can distinguish between old and new property numbers. If the same number already exists, a new number is assigned.</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b w:val="1"/>
        </w:rPr>
      </w:pPr>
      <w:r w:rsidDel="00000000" w:rsidR="00000000" w:rsidRPr="00000000">
        <w:rPr>
          <w:b w:val="1"/>
          <w:rtl w:val="0"/>
        </w:rPr>
        <w:t xml:space="preserve"> Impact on Program Code and Reports:</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tl w:val="0"/>
        </w:rPr>
        <w:t xml:space="preserve">The transition to 6bill property numbers necessitates substantial updates to the entire program code, including databases, software, and reporting systems. All reports, forms, and other features that rely on property tax numbers must be modified to incorporate the new numbering system. This process ensures that accurate and uptodate property tax records are maintained.</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b w:val="1"/>
        </w:rPr>
      </w:pPr>
      <w:r w:rsidDel="00000000" w:rsidR="00000000" w:rsidRPr="00000000">
        <w:rPr>
          <w:b w:val="1"/>
          <w:rtl w:val="0"/>
        </w:rPr>
        <w:t xml:space="preserve"> Identification through Serial Numbers:</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tl w:val="0"/>
        </w:rPr>
        <w:t xml:space="preserve">To enhance the management of property tax records, each property number is assigned a unique serial number. This serial number helps in the efficient identification and tracking of properties within Chennai Corporation. It allows for better organization, recordkeeping, and taxation purposes.</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pStyle w:val="Heading1"/>
        <w:spacing w:line="360" w:lineRule="auto"/>
        <w:rPr/>
      </w:pPr>
      <w:bookmarkStart w:colFirst="0" w:colLast="0" w:name="_8e6vvpchawk4" w:id="14"/>
      <w:bookmarkEnd w:id="14"/>
      <w:r w:rsidDel="00000000" w:rsidR="00000000" w:rsidRPr="00000000">
        <w:rPr>
          <w:rtl w:val="0"/>
        </w:rPr>
        <w:t xml:space="preserve">Chennai Local Bodies and Zones:</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tl w:val="0"/>
        </w:rPr>
        <w:t xml:space="preserve">The ward delimitation process impacts a total of 42 local bodies within Chennai Corporation. Additionally, it has led to a reconfiguration of zones, with 15 zones being restructured into 23 zones in the future. This restructuring aims to streamline administrative responsibilities and improve governance.</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pStyle w:val="Title"/>
        <w:spacing w:line="360" w:lineRule="auto"/>
        <w:rPr>
          <w:sz w:val="40"/>
          <w:szCs w:val="40"/>
        </w:rPr>
      </w:pPr>
      <w:bookmarkStart w:colFirst="0" w:colLast="0" w:name="_drvsv7f02hvi" w:id="15"/>
      <w:bookmarkEnd w:id="15"/>
      <w:r w:rsidDel="00000000" w:rsidR="00000000" w:rsidRPr="00000000">
        <w:rPr>
          <w:rtl w:val="0"/>
        </w:rPr>
        <w:br w:type="textWrapping"/>
        <w:br w:type="textWrapping"/>
      </w:r>
      <w:r w:rsidDel="00000000" w:rsidR="00000000" w:rsidRPr="00000000">
        <w:rPr>
          <w:sz w:val="40"/>
          <w:szCs w:val="40"/>
          <w:rtl w:val="0"/>
        </w:rPr>
        <w:t xml:space="preserve">Civic Infrastructure and Asset Management:</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pStyle w:val="Heading1"/>
        <w:spacing w:line="360" w:lineRule="auto"/>
        <w:rPr/>
      </w:pPr>
      <w:bookmarkStart w:colFirst="0" w:colLast="0" w:name="_mvi8lhsxpm5k" w:id="16"/>
      <w:bookmarkEnd w:id="16"/>
      <w:r w:rsidDel="00000000" w:rsidR="00000000" w:rsidRPr="00000000">
        <w:rPr>
          <w:rtl w:val="0"/>
        </w:rPr>
        <w:t xml:space="preserve">Providing Civic Communities:</w:t>
      </w:r>
    </w:p>
    <w:p w:rsidR="00000000" w:rsidDel="00000000" w:rsidP="00000000" w:rsidRDefault="00000000" w:rsidRPr="00000000" w14:paraId="0000005F">
      <w:pPr>
        <w:spacing w:line="360" w:lineRule="auto"/>
        <w:rPr/>
      </w:pPr>
      <w:r w:rsidDel="00000000" w:rsidR="00000000" w:rsidRPr="00000000">
        <w:rPr>
          <w:rtl w:val="0"/>
        </w:rPr>
        <w:t xml:space="preserve">GCC is responsible for providing various civic amenities and services to support the community. This includes creating, modifying, relinquishing, depositing, and remapping assets. These activities are crucial for maintaining and enhancing the infrastructure within its jurisdiction.</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pStyle w:val="Heading1"/>
        <w:spacing w:line="360" w:lineRule="auto"/>
        <w:rPr/>
      </w:pPr>
      <w:bookmarkStart w:colFirst="0" w:colLast="0" w:name="_kht5jdcvbsfa" w:id="17"/>
      <w:bookmarkEnd w:id="17"/>
      <w:r w:rsidDel="00000000" w:rsidR="00000000" w:rsidRPr="00000000">
        <w:rPr>
          <w:rtl w:val="0"/>
        </w:rPr>
        <w:t xml:space="preserve">Asset Portfolio:</w:t>
      </w:r>
    </w:p>
    <w:p w:rsidR="00000000" w:rsidDel="00000000" w:rsidP="00000000" w:rsidRDefault="00000000" w:rsidRPr="00000000" w14:paraId="00000062">
      <w:pPr>
        <w:spacing w:line="360" w:lineRule="auto"/>
        <w:rPr/>
      </w:pPr>
      <w:r w:rsidDel="00000000" w:rsidR="00000000" w:rsidRPr="00000000">
        <w:rPr>
          <w:rtl w:val="0"/>
        </w:rPr>
        <w:t xml:space="preserve">GCC owns and manages an extensive portfolio of assets, including 47,000 roads and 2,200,000 street lamps. These assets require regular maintenance, occupation, and replacement to ensure they remain in good working condition.</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b w:val="1"/>
        </w:rPr>
      </w:pPr>
      <w:r w:rsidDel="00000000" w:rsidR="00000000" w:rsidRPr="00000000">
        <w:rPr>
          <w:b w:val="1"/>
          <w:rtl w:val="0"/>
        </w:rPr>
        <w:t xml:space="preserve">Electronic Department:</w:t>
      </w:r>
    </w:p>
    <w:p w:rsidR="00000000" w:rsidDel="00000000" w:rsidP="00000000" w:rsidRDefault="00000000" w:rsidRPr="00000000" w14:paraId="00000065">
      <w:pPr>
        <w:spacing w:line="360" w:lineRule="auto"/>
        <w:rPr/>
      </w:pPr>
      <w:r w:rsidDel="00000000" w:rsidR="00000000" w:rsidRPr="00000000">
        <w:rPr>
          <w:rtl w:val="0"/>
        </w:rPr>
        <w:t xml:space="preserve">The management and execution of asset maintenance and replacement activities are typically overseen by the electronic department within GCC. This department is responsible for ensuring that assets, particularly electronic ones like street lamps, are operational and safe.</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pStyle w:val="Heading1"/>
        <w:spacing w:line="360" w:lineRule="auto"/>
        <w:rPr/>
      </w:pPr>
      <w:bookmarkStart w:colFirst="0" w:colLast="0" w:name="_rtwvw6oqfsw3" w:id="18"/>
      <w:bookmarkEnd w:id="18"/>
      <w:r w:rsidDel="00000000" w:rsidR="00000000" w:rsidRPr="00000000">
        <w:rPr>
          <w:rtl w:val="0"/>
        </w:rPr>
        <w:t xml:space="preserve"> Tendering and Contract Management:</w:t>
      </w:r>
    </w:p>
    <w:p w:rsidR="00000000" w:rsidDel="00000000" w:rsidP="00000000" w:rsidRDefault="00000000" w:rsidRPr="00000000" w14:paraId="00000068">
      <w:pPr>
        <w:pStyle w:val="Heading3"/>
        <w:spacing w:line="360" w:lineRule="auto"/>
        <w:rPr/>
      </w:pPr>
      <w:bookmarkStart w:colFirst="0" w:colLast="0" w:name="_q3disoepiarq" w:id="19"/>
      <w:bookmarkEnd w:id="19"/>
      <w:r w:rsidDel="00000000" w:rsidR="00000000" w:rsidRPr="00000000">
        <w:rPr>
          <w:rtl w:val="0"/>
        </w:rPr>
      </w:r>
    </w:p>
    <w:p w:rsidR="00000000" w:rsidDel="00000000" w:rsidP="00000000" w:rsidRDefault="00000000" w:rsidRPr="00000000" w14:paraId="00000069">
      <w:pPr>
        <w:spacing w:line="360" w:lineRule="auto"/>
        <w:rPr>
          <w:b w:val="1"/>
        </w:rPr>
      </w:pPr>
      <w:r w:rsidDel="00000000" w:rsidR="00000000" w:rsidRPr="00000000">
        <w:rPr>
          <w:b w:val="1"/>
          <w:rtl w:val="0"/>
        </w:rPr>
        <w:t xml:space="preserve">Tendering Process:</w:t>
      </w:r>
    </w:p>
    <w:p w:rsidR="00000000" w:rsidDel="00000000" w:rsidP="00000000" w:rsidRDefault="00000000" w:rsidRPr="00000000" w14:paraId="0000006A">
      <w:pPr>
        <w:spacing w:line="360" w:lineRule="auto"/>
        <w:rPr/>
      </w:pPr>
      <w:r w:rsidDel="00000000" w:rsidR="00000000" w:rsidRPr="00000000">
        <w:rPr>
          <w:rtl w:val="0"/>
        </w:rPr>
        <w:t xml:space="preserve">GCC often uses a tendering process to award contracts for managing and maintaining assets. The process typically begins with an open tender, where contractors bid to take on specific maintenance or management tasks.</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b w:val="1"/>
        </w:rPr>
      </w:pPr>
      <w:r w:rsidDel="00000000" w:rsidR="00000000" w:rsidRPr="00000000">
        <w:rPr>
          <w:b w:val="1"/>
          <w:rtl w:val="0"/>
        </w:rPr>
        <w:t xml:space="preserve">Estimation and Works Module:</w:t>
      </w:r>
    </w:p>
    <w:p w:rsidR="00000000" w:rsidDel="00000000" w:rsidP="00000000" w:rsidRDefault="00000000" w:rsidRPr="00000000" w14:paraId="0000006D">
      <w:pPr>
        <w:spacing w:line="360" w:lineRule="auto"/>
        <w:rPr/>
      </w:pPr>
      <w:r w:rsidDel="00000000" w:rsidR="00000000" w:rsidRPr="00000000">
        <w:rPr>
          <w:rtl w:val="0"/>
        </w:rPr>
        <w:t xml:space="preserve">Before initiating an open tender, GCC defines the scope of work and estimates the costs associated with asset management. This information is usually prepared in a works module, outlining the specific tasks and requirements.</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b w:val="1"/>
        </w:rPr>
      </w:pPr>
      <w:r w:rsidDel="00000000" w:rsidR="00000000" w:rsidRPr="00000000">
        <w:rPr>
          <w:b w:val="1"/>
          <w:rtl w:val="0"/>
        </w:rPr>
        <w:t xml:space="preserve">Work Orders:</w:t>
      </w:r>
    </w:p>
    <w:p w:rsidR="00000000" w:rsidDel="00000000" w:rsidP="00000000" w:rsidRDefault="00000000" w:rsidRPr="00000000" w14:paraId="00000070">
      <w:pPr>
        <w:spacing w:line="360" w:lineRule="auto"/>
        <w:rPr/>
      </w:pPr>
      <w:r w:rsidDel="00000000" w:rsidR="00000000" w:rsidRPr="00000000">
        <w:rPr>
          <w:rtl w:val="0"/>
        </w:rPr>
        <w:t xml:space="preserve">Once a contract is awarded, work orders are issued to the selected contractors. These work orders contain detailed instructions on the tasks, timelines, and requirements for the maintenance or management of assets.</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pStyle w:val="Heading1"/>
        <w:spacing w:line="360" w:lineRule="auto"/>
        <w:rPr/>
      </w:pPr>
      <w:bookmarkStart w:colFirst="0" w:colLast="0" w:name="_kvt0f67857mp" w:id="20"/>
      <w:bookmarkEnd w:id="20"/>
      <w:r w:rsidDel="00000000" w:rsidR="00000000" w:rsidRPr="00000000">
        <w:rPr>
          <w:rtl w:val="0"/>
        </w:rPr>
        <w:t xml:space="preserve">Measurement Book (M Book):</w:t>
      </w:r>
    </w:p>
    <w:p w:rsidR="00000000" w:rsidDel="00000000" w:rsidP="00000000" w:rsidRDefault="00000000" w:rsidRPr="00000000" w14:paraId="00000073">
      <w:pPr>
        <w:spacing w:line="360" w:lineRule="auto"/>
        <w:rPr/>
      </w:pPr>
      <w:r w:rsidDel="00000000" w:rsidR="00000000" w:rsidRPr="00000000">
        <w:rPr>
          <w:rtl w:val="0"/>
        </w:rPr>
        <w:t xml:space="preserve">The M Book is a crucial tool used to maintain all government-related details, especially in monitoring asset management and work progress. It includes page numbers and book numbers, which are tracked over a ten-year period to ensure compliance with policies and regulations.</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b w:val="1"/>
        </w:rPr>
      </w:pPr>
      <w:r w:rsidDel="00000000" w:rsidR="00000000" w:rsidRPr="00000000">
        <w:rPr>
          <w:b w:val="1"/>
          <w:rtl w:val="0"/>
        </w:rPr>
        <w:t xml:space="preserve">Measurement and Payment:</w:t>
      </w:r>
    </w:p>
    <w:p w:rsidR="00000000" w:rsidDel="00000000" w:rsidP="00000000" w:rsidRDefault="00000000" w:rsidRPr="00000000" w14:paraId="00000076">
      <w:pPr>
        <w:spacing w:line="360" w:lineRule="auto"/>
        <w:rPr/>
      </w:pPr>
      <w:r w:rsidDel="00000000" w:rsidR="00000000" w:rsidRPr="00000000">
        <w:rPr>
          <w:rtl w:val="0"/>
        </w:rPr>
        <w:t xml:space="preserve">Asset maintenance often involves measurements of length, breadth, width, and quantity. These measurements are recorded and analyzed using software tools like the Appstruct M Book. Payment to contractors is calculated based on these measurements. This ensures that work is compensated accurately.</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pStyle w:val="Heading1"/>
        <w:spacing w:line="360" w:lineRule="auto"/>
        <w:rPr/>
      </w:pPr>
      <w:bookmarkStart w:colFirst="0" w:colLast="0" w:name="_9mmjk9kk6tjg" w:id="21"/>
      <w:bookmarkEnd w:id="21"/>
      <w:r w:rsidDel="00000000" w:rsidR="00000000" w:rsidRPr="00000000">
        <w:rPr>
          <w:rtl w:val="0"/>
        </w:rPr>
        <w:t xml:space="preserve"> Schedule of Rate (SOR):</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b w:val="1"/>
        </w:rPr>
      </w:pPr>
      <w:r w:rsidDel="00000000" w:rsidR="00000000" w:rsidRPr="00000000">
        <w:rPr>
          <w:b w:val="1"/>
          <w:rtl w:val="0"/>
        </w:rPr>
        <w:t xml:space="preserve">SOR and Rate Fixing:</w:t>
      </w:r>
    </w:p>
    <w:p w:rsidR="00000000" w:rsidDel="00000000" w:rsidP="00000000" w:rsidRDefault="00000000" w:rsidRPr="00000000" w14:paraId="0000007B">
      <w:pPr>
        <w:spacing w:line="360" w:lineRule="auto"/>
        <w:rPr/>
      </w:pPr>
      <w:r w:rsidDel="00000000" w:rsidR="00000000" w:rsidRPr="00000000">
        <w:rPr>
          <w:rtl w:val="0"/>
        </w:rPr>
        <w:t xml:space="preserve">In the context of street or road maintenance, a fixed number of line items are maintained as part of the Schedule of Rate (SOR). Each unit of work item within the SOR has a predetermined rate that is fixed by the Public Works Department (PWD). These rates provide a standardized and transparent basis for billing and payment for various maintenance tasks.</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